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240" w:lineRule="auto"/>
        <w:ind w:right="692"/>
        <w:rPr>
          <w:rFonts w:hint="eastAsia" w:ascii="黑体" w:hAnsi="黑体" w:eastAsia="黑体" w:cs="方正小标宋简体"/>
          <w:b w:val="0"/>
          <w:color w:val="2F2F2F"/>
          <w:w w:val="105"/>
          <w:sz w:val="32"/>
          <w:szCs w:val="32"/>
        </w:rPr>
      </w:pPr>
      <w:r>
        <w:rPr>
          <w:rFonts w:hint="eastAsia" w:ascii="黑体" w:hAnsi="黑体" w:eastAsia="黑体" w:cs="方正小标宋简体"/>
          <w:b w:val="0"/>
          <w:color w:val="2F2F2F"/>
          <w:w w:val="105"/>
          <w:sz w:val="32"/>
          <w:szCs w:val="32"/>
        </w:rPr>
        <w:t>附件1</w:t>
      </w:r>
    </w:p>
    <w:p>
      <w:pPr>
        <w:adjustRightInd w:val="0"/>
        <w:snapToGrid w:val="0"/>
        <w:rPr>
          <w:rFonts w:hint="eastAsia" w:ascii="黑体" w:hAnsi="黑体" w:eastAsia="黑体"/>
          <w:spacing w:val="17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日程安排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20" w:lineRule="exact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</w:rPr>
        <w:t xml:space="preserve"> </w:t>
      </w:r>
    </w:p>
    <w:tbl>
      <w:tblPr>
        <w:tblStyle w:val="6"/>
        <w:tblW w:w="95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790"/>
        <w:gridCol w:w="4506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日  期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时  间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内  容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地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3月13日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（星期一）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9:00-12:00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人员报到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12:00-13:30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午餐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15:30-18:00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1.广东省科协领导讲话；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2.全省科普工作业务培训；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3.科技志愿服务经验交流；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Chars="0" w:right="0" w:right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4.活动小结。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18:00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晚餐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3月14日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（星期二）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7:30-8:40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早餐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9:00-12:00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观摩2022-2023年广东省文化科技卫生“三下乡”启动仪式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乘车前往鼎湖区体育公园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12:00-13:30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午餐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14:00</w:t>
            </w:r>
          </w:p>
        </w:tc>
        <w:tc>
          <w:tcPr>
            <w:tcW w:w="4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离会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3B252A9B"/>
    <w:rsid w:val="3B2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2023-03-06T08:51:00Z</dcterms:created>
  <dc:creator>报社编辑</dc:creator>
  <cp:lastModifiedBy>报社编辑</cp:lastModifiedBy>
  <dcterms:modified xsi:type="dcterms:W3CDTF">2023-03-06T08:52:45Z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93BE28CD3ED94076A2012E01A394679B</vt:lpwstr>
  </property>
</Properties>
</file>